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 xml:space="preserve">The Blood Bowl Player Representation (BBPR) is an athletic talent agency that actively recruits Blood bowl players for teams that are looking to fill a position. They are commonly known to take any cut player under their care and </w:t>
      </w:r>
      <w:proofErr w:type="gramStart"/>
      <w:r w:rsidRPr="000F735D">
        <w:rPr>
          <w:rFonts w:eastAsia="Times New Roman" w:cs="Times New Roman"/>
        </w:rPr>
        <w:t>helps</w:t>
      </w:r>
      <w:proofErr w:type="gramEnd"/>
      <w:r w:rsidRPr="000F735D">
        <w:rPr>
          <w:rFonts w:eastAsia="Times New Roman" w:cs="Times New Roman"/>
        </w:rPr>
        <w:t xml:space="preserve"> to negotiate terms for season contracts with new teams. They are famously known for obtaining and holding onto any player that reaches Legendary Status within regular season play. Once a player makes that leap to Legendary status the BBPR lays on the charm and recruitment power to lure the prospective client away from their home team with promises of more money and a full time apothecary that will help the player live forever. If a player agrees to the terms of being in Star Player Status the BBPR then takes the player on a meet and greet tour of all the lands and provides exhibition games for them to show off their natural blood bowl talents that they molded while in their prime on the pitch. In return, the BBRP offers the player an increase in salary for every game they play at their leisure, on top of their already impressive commercial and sitcom contracted cameo fees. This talent agency is so good they are able to get the player out of their already existing contract with their parent team even during the middle of the season. </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 xml:space="preserve">((OFFICIAL DFBBL RULE: If a player obtains Legendary Status on the blood bowl pitch during a regular game (including Tournaments/and Playoffs and excluding any one-off games) the coach will then have the choice to allow the player to go to Star Player status. This is not </w:t>
      </w:r>
      <w:proofErr w:type="gramStart"/>
      <w:r w:rsidRPr="000F735D">
        <w:rPr>
          <w:rFonts w:eastAsia="Times New Roman" w:cs="Times New Roman"/>
        </w:rPr>
        <w:t>Mandatory</w:t>
      </w:r>
      <w:proofErr w:type="gramEnd"/>
      <w:r w:rsidRPr="000F735D">
        <w:rPr>
          <w:rFonts w:eastAsia="Times New Roman" w:cs="Times New Roman"/>
        </w:rPr>
        <w:t xml:space="preserve"> and can be decided at the end of any game after the initial game that defined the player as a Legendary player. Cost of the player will be increased as described below and player will be able to be used on any team that a previous (comparable) star player can be played on. If there are any discrepancies questions or issues as to what that means, it may be voted upon within the league.))</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b/>
          <w:bCs/>
        </w:rPr>
        <w:t>Table of Player cost increases are as follows:</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Player Cost             </w:t>
      </w:r>
      <w:bookmarkStart w:id="0" w:name="_GoBack"/>
      <w:bookmarkEnd w:id="0"/>
      <w:r w:rsidRPr="000F735D">
        <w:rPr>
          <w:rFonts w:eastAsia="Times New Roman" w:cs="Times New Roman"/>
        </w:rPr>
        <w:t xml:space="preserve">                   </w:t>
      </w:r>
    </w:p>
    <w:tbl>
      <w:tblPr>
        <w:tblW w:w="3380" w:type="dxa"/>
        <w:tblCellMar>
          <w:left w:w="0" w:type="dxa"/>
          <w:right w:w="0" w:type="dxa"/>
        </w:tblCellMar>
        <w:tblLook w:val="04A0" w:firstRow="1" w:lastRow="0" w:firstColumn="1" w:lastColumn="0" w:noHBand="0" w:noVBand="1"/>
      </w:tblPr>
      <w:tblGrid>
        <w:gridCol w:w="1160"/>
        <w:gridCol w:w="406"/>
        <w:gridCol w:w="1160"/>
        <w:gridCol w:w="1060"/>
      </w:tblGrid>
      <w:tr w:rsidR="000F735D" w:rsidRPr="000F735D" w:rsidTr="000F735D">
        <w:trPr>
          <w:trHeight w:val="315"/>
        </w:trPr>
        <w:tc>
          <w:tcPr>
            <w:tcW w:w="1020" w:type="dxa"/>
            <w:tcBorders>
              <w:top w:val="single" w:sz="8" w:space="0" w:color="auto"/>
              <w:left w:val="single" w:sz="8" w:space="0" w:color="auto"/>
              <w:bottom w:val="nil"/>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100,000gp</w:t>
            </w:r>
          </w:p>
        </w:tc>
        <w:tc>
          <w:tcPr>
            <w:tcW w:w="300" w:type="dxa"/>
            <w:tcBorders>
              <w:top w:val="single" w:sz="8" w:space="0" w:color="auto"/>
              <w:left w:val="nil"/>
              <w:bottom w:val="nil"/>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to</w:t>
            </w:r>
          </w:p>
        </w:tc>
        <w:tc>
          <w:tcPr>
            <w:tcW w:w="100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140,000gp</w:t>
            </w:r>
          </w:p>
        </w:tc>
        <w:tc>
          <w:tcPr>
            <w:tcW w:w="1060" w:type="dxa"/>
            <w:tcBorders>
              <w:top w:val="single" w:sz="8" w:space="0" w:color="auto"/>
              <w:left w:val="nil"/>
              <w:bottom w:val="nil"/>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jc w:val="center"/>
              <w:rPr>
                <w:rFonts w:eastAsia="Times New Roman" w:cs="Times New Roman"/>
              </w:rPr>
            </w:pPr>
            <w:r w:rsidRPr="000F735D">
              <w:rPr>
                <w:rFonts w:eastAsia="Times New Roman" w:cs="Times New Roman"/>
              </w:rPr>
              <w:t>Add 10k</w:t>
            </w:r>
          </w:p>
        </w:tc>
      </w:tr>
      <w:tr w:rsidR="000F735D" w:rsidRPr="000F735D" w:rsidTr="000F735D">
        <w:trPr>
          <w:trHeight w:val="315"/>
        </w:trPr>
        <w:tc>
          <w:tcPr>
            <w:tcW w:w="1020" w:type="dxa"/>
            <w:tcBorders>
              <w:top w:val="single" w:sz="8" w:space="0" w:color="auto"/>
              <w:left w:val="single" w:sz="8" w:space="0" w:color="auto"/>
              <w:bottom w:val="single" w:sz="8" w:space="0" w:color="auto"/>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150,000gp</w:t>
            </w:r>
          </w:p>
        </w:tc>
        <w:tc>
          <w:tcPr>
            <w:tcW w:w="300" w:type="dxa"/>
            <w:tcBorders>
              <w:top w:val="single" w:sz="8" w:space="0" w:color="auto"/>
              <w:left w:val="nil"/>
              <w:bottom w:val="single" w:sz="8" w:space="0" w:color="auto"/>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to</w:t>
            </w:r>
          </w:p>
        </w:tc>
        <w:tc>
          <w:tcPr>
            <w:tcW w:w="100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240,000gp</w:t>
            </w:r>
          </w:p>
        </w:tc>
        <w:tc>
          <w:tcPr>
            <w:tcW w:w="10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jc w:val="center"/>
              <w:rPr>
                <w:rFonts w:eastAsia="Times New Roman" w:cs="Times New Roman"/>
              </w:rPr>
            </w:pPr>
            <w:r w:rsidRPr="000F735D">
              <w:rPr>
                <w:rFonts w:eastAsia="Times New Roman" w:cs="Times New Roman"/>
              </w:rPr>
              <w:t>Add 20k</w:t>
            </w:r>
          </w:p>
        </w:tc>
      </w:tr>
      <w:tr w:rsidR="000F735D" w:rsidRPr="000F735D" w:rsidTr="000F735D">
        <w:trPr>
          <w:trHeight w:val="315"/>
        </w:trPr>
        <w:tc>
          <w:tcPr>
            <w:tcW w:w="1020" w:type="dxa"/>
            <w:tcBorders>
              <w:top w:val="nil"/>
              <w:left w:val="single" w:sz="8" w:space="0" w:color="auto"/>
              <w:bottom w:val="single" w:sz="8" w:space="0" w:color="auto"/>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250,000gp</w:t>
            </w:r>
          </w:p>
        </w:tc>
        <w:tc>
          <w:tcPr>
            <w:tcW w:w="300" w:type="dxa"/>
            <w:tcBorders>
              <w:top w:val="nil"/>
              <w:left w:val="nil"/>
              <w:bottom w:val="single" w:sz="8" w:space="0" w:color="auto"/>
              <w:right w:val="nil"/>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to</w:t>
            </w:r>
          </w:p>
        </w:tc>
        <w:tc>
          <w:tcPr>
            <w:tcW w:w="100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340,000gp</w:t>
            </w:r>
          </w:p>
        </w:tc>
        <w:tc>
          <w:tcPr>
            <w:tcW w:w="10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jc w:val="center"/>
              <w:rPr>
                <w:rFonts w:eastAsia="Times New Roman" w:cs="Times New Roman"/>
              </w:rPr>
            </w:pPr>
            <w:r w:rsidRPr="000F735D">
              <w:rPr>
                <w:rFonts w:eastAsia="Times New Roman" w:cs="Times New Roman"/>
              </w:rPr>
              <w:t>Add 30k</w:t>
            </w:r>
          </w:p>
        </w:tc>
      </w:tr>
      <w:tr w:rsidR="000F735D" w:rsidRPr="000F735D" w:rsidTr="000F735D">
        <w:trPr>
          <w:trHeight w:val="315"/>
        </w:trPr>
        <w:tc>
          <w:tcPr>
            <w:tcW w:w="1020" w:type="dxa"/>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 xml:space="preserve">Retrain: </w:t>
            </w:r>
          </w:p>
        </w:tc>
        <w:tc>
          <w:tcPr>
            <w:tcW w:w="300" w:type="dxa"/>
            <w:noWrap/>
            <w:tcMar>
              <w:top w:w="0" w:type="dxa"/>
              <w:left w:w="108" w:type="dxa"/>
              <w:bottom w:w="0" w:type="dxa"/>
              <w:right w:w="108" w:type="dxa"/>
            </w:tcMar>
            <w:vAlign w:val="bottom"/>
            <w:hideMark/>
          </w:tcPr>
          <w:p w:rsidR="000F735D" w:rsidRPr="000F735D" w:rsidRDefault="000F735D" w:rsidP="000F735D">
            <w:pPr>
              <w:spacing w:after="0" w:line="240" w:lineRule="auto"/>
              <w:rPr>
                <w:rFonts w:eastAsia="Times New Roman" w:cs="Times New Roman"/>
              </w:rPr>
            </w:pPr>
          </w:p>
        </w:tc>
        <w:tc>
          <w:tcPr>
            <w:tcW w:w="1000" w:type="dxa"/>
            <w:noWrap/>
            <w:tcMar>
              <w:top w:w="0" w:type="dxa"/>
              <w:left w:w="108" w:type="dxa"/>
              <w:bottom w:w="0" w:type="dxa"/>
              <w:right w:w="108" w:type="dxa"/>
            </w:tcMar>
            <w:vAlign w:val="bottom"/>
            <w:hideMark/>
          </w:tcPr>
          <w:p w:rsidR="000F735D" w:rsidRPr="000F735D" w:rsidRDefault="000F735D" w:rsidP="000F735D">
            <w:pPr>
              <w:spacing w:after="0" w:line="240" w:lineRule="auto"/>
              <w:rPr>
                <w:rFonts w:eastAsia="Times New Roman" w:cs="Times New Roman"/>
              </w:rPr>
            </w:pPr>
          </w:p>
        </w:tc>
        <w:tc>
          <w:tcPr>
            <w:tcW w:w="1060" w:type="dxa"/>
            <w:noWrap/>
            <w:tcMar>
              <w:top w:w="0" w:type="dxa"/>
              <w:left w:w="108" w:type="dxa"/>
              <w:bottom w:w="0" w:type="dxa"/>
              <w:right w:w="108" w:type="dxa"/>
            </w:tcMar>
            <w:vAlign w:val="bottom"/>
            <w:hideMark/>
          </w:tcPr>
          <w:p w:rsidR="000F735D" w:rsidRPr="000F735D" w:rsidRDefault="000F735D" w:rsidP="000F735D">
            <w:pPr>
              <w:spacing w:after="0" w:line="240" w:lineRule="auto"/>
              <w:rPr>
                <w:rFonts w:eastAsia="Times New Roman" w:cs="Times New Roman"/>
              </w:rPr>
            </w:pPr>
          </w:p>
        </w:tc>
      </w:tr>
      <w:tr w:rsidR="000F735D" w:rsidRPr="000F735D" w:rsidTr="000F735D">
        <w:trPr>
          <w:trHeight w:val="315"/>
        </w:trPr>
        <w:tc>
          <w:tcPr>
            <w:tcW w:w="3380" w:type="dxa"/>
            <w:gridSpan w:val="4"/>
            <w:tcBorders>
              <w:top w:val="single" w:sz="8" w:space="0" w:color="auto"/>
              <w:left w:val="single" w:sz="8" w:space="0" w:color="auto"/>
              <w:bottom w:val="single" w:sz="8" w:space="0" w:color="auto"/>
              <w:right w:val="single" w:sz="8" w:space="0" w:color="000000"/>
            </w:tcBorders>
            <w:noWrap/>
            <w:tcMar>
              <w:top w:w="0" w:type="dxa"/>
              <w:left w:w="108" w:type="dxa"/>
              <w:bottom w:w="0" w:type="dxa"/>
              <w:right w:w="108" w:type="dxa"/>
            </w:tcMar>
            <w:vAlign w:val="bottom"/>
            <w:hideMark/>
          </w:tcPr>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rPr>
              <w:t>Any negative skill removal: Add 80k</w:t>
            </w:r>
          </w:p>
        </w:tc>
      </w:tr>
    </w:tbl>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i/>
          <w:iCs/>
          <w:shd w:val="clear" w:color="auto" w:fill="FFFF00"/>
        </w:rPr>
        <w:t xml:space="preserve">If a player was able to train themselves to utmost perfection and go from a 4 (or below) to a 5 (or more) on Strength or Agility, they are able to demand even more money at an additional whopping </w:t>
      </w:r>
      <w:r w:rsidRPr="000F735D">
        <w:rPr>
          <w:rFonts w:eastAsia="Times New Roman" w:cs="Times New Roman"/>
          <w:b/>
          <w:bCs/>
          <w:i/>
          <w:iCs/>
          <w:shd w:val="clear" w:color="auto" w:fill="FFFF00"/>
        </w:rPr>
        <w:t xml:space="preserve">60k </w:t>
      </w:r>
      <w:proofErr w:type="spellStart"/>
      <w:r w:rsidRPr="000F735D">
        <w:rPr>
          <w:rFonts w:eastAsia="Times New Roman" w:cs="Times New Roman"/>
          <w:b/>
          <w:bCs/>
          <w:i/>
          <w:iCs/>
          <w:shd w:val="clear" w:color="auto" w:fill="FFFF00"/>
        </w:rPr>
        <w:t>gp</w:t>
      </w:r>
      <w:proofErr w:type="spellEnd"/>
      <w:r w:rsidRPr="000F735D">
        <w:rPr>
          <w:rFonts w:eastAsia="Times New Roman" w:cs="Times New Roman"/>
          <w:shd w:val="clear" w:color="auto" w:fill="FFFF00"/>
        </w:rPr>
        <w:t>.</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bCs/>
        </w:rPr>
        <w:t>Official Letter to the player:</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bCs/>
        </w:rPr>
        <w:t xml:space="preserve">Congratulations (Player Name Here) on your recent achievement. It’s not every day that someone reaches the greatness that you have acquired on the pitch tonight. You should celebrate! Drink plenty of ale! Kiss a </w:t>
      </w:r>
      <w:proofErr w:type="spellStart"/>
      <w:r w:rsidRPr="000F735D">
        <w:rPr>
          <w:rFonts w:eastAsia="Times New Roman" w:cs="Times New Roman"/>
          <w:bCs/>
        </w:rPr>
        <w:t>Bloodwiser</w:t>
      </w:r>
      <w:proofErr w:type="spellEnd"/>
      <w:r w:rsidRPr="000F735D">
        <w:rPr>
          <w:rFonts w:eastAsia="Times New Roman" w:cs="Times New Roman"/>
          <w:bCs/>
        </w:rPr>
        <w:t xml:space="preserve"> Babe! Roast a Goblin or Halfling! And when you are done with your night of partying and celebration</w:t>
      </w:r>
      <w:proofErr w:type="gramStart"/>
      <w:r w:rsidRPr="000F735D">
        <w:rPr>
          <w:rFonts w:eastAsia="Times New Roman" w:cs="Times New Roman"/>
          <w:bCs/>
        </w:rPr>
        <w:t>,  we’d</w:t>
      </w:r>
      <w:proofErr w:type="gramEnd"/>
      <w:r w:rsidRPr="000F735D">
        <w:rPr>
          <w:rFonts w:eastAsia="Times New Roman" w:cs="Times New Roman"/>
          <w:bCs/>
        </w:rPr>
        <w:t xml:space="preserve"> like for you to take a moment and seriously consider our offer to represent you as an official Star Player. Think about it: Every day can be your celebration day. You can play for any team you choose that can afford you. You will live on forever due to our amazing apothecaries that we have on retainer. You can live this glorious feeling every day, all while lining your pockets with even more gold than you have ever thought of before! Living the Blood Bowl Dream! Still have a contract to play out the remainder of the season? No worries! All you have to do is sign on the dotted line and we’ll take care of the rest. We are the BBPR are here for you. Because we know; when you make money, we make money. Well, what are you waiting for, Champ? Sign the contract enclosed and you’ll find yourself living the good life. </w:t>
      </w:r>
    </w:p>
    <w:p w:rsidR="000F735D" w:rsidRPr="000F735D" w:rsidRDefault="000F735D" w:rsidP="000F735D">
      <w:pPr>
        <w:spacing w:before="100" w:beforeAutospacing="1" w:after="100" w:afterAutospacing="1" w:line="240" w:lineRule="auto"/>
        <w:rPr>
          <w:rFonts w:eastAsia="Times New Roman" w:cs="Times New Roman"/>
        </w:rPr>
      </w:pPr>
      <w:r w:rsidRPr="000F735D">
        <w:rPr>
          <w:rFonts w:eastAsia="Times New Roman" w:cs="Times New Roman"/>
          <w:bCs/>
        </w:rPr>
        <w:t>See you soon,</w:t>
      </w:r>
    </w:p>
    <w:p w:rsidR="006978E6" w:rsidRDefault="000F735D" w:rsidP="006978E6">
      <w:pPr>
        <w:pStyle w:val="NoSpacing"/>
      </w:pPr>
      <w:r w:rsidRPr="000F735D">
        <w:t xml:space="preserve">Bob </w:t>
      </w:r>
      <w:proofErr w:type="spellStart"/>
      <w:r w:rsidRPr="000F735D">
        <w:t>Steinbergert</w:t>
      </w:r>
      <w:proofErr w:type="spellEnd"/>
    </w:p>
    <w:p w:rsidR="000F735D" w:rsidRPr="006978E6" w:rsidRDefault="000F735D" w:rsidP="006978E6">
      <w:pPr>
        <w:pStyle w:val="NoSpacing"/>
      </w:pPr>
      <w:r w:rsidRPr="000F735D">
        <w:t>Blood Bowl Player Representation Agency</w:t>
      </w:r>
    </w:p>
    <w:p w:rsidR="00A66903" w:rsidRPr="006978E6" w:rsidRDefault="000F735D" w:rsidP="006978E6">
      <w:pPr>
        <w:spacing w:before="100" w:beforeAutospacing="1" w:after="100" w:afterAutospacing="1" w:line="240" w:lineRule="auto"/>
        <w:jc w:val="center"/>
        <w:rPr>
          <w:rFonts w:eastAsia="Times New Roman" w:cs="Times New Roman"/>
        </w:rPr>
      </w:pPr>
      <w:r w:rsidRPr="006978E6">
        <w:rPr>
          <w:rFonts w:eastAsia="Times New Roman" w:cs="Times New Roman"/>
          <w:bCs/>
        </w:rPr>
        <w:t>NOTE COMMISSIONER APPROVAL PENDING!!!</w:t>
      </w:r>
    </w:p>
    <w:sectPr w:rsidR="00A66903" w:rsidRPr="006978E6" w:rsidSect="000F73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5D"/>
    <w:rsid w:val="000F735D"/>
    <w:rsid w:val="006978E6"/>
    <w:rsid w:val="00A66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F73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8E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0F735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978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149153">
      <w:bodyDiv w:val="1"/>
      <w:marLeft w:val="0"/>
      <w:marRight w:val="0"/>
      <w:marTop w:val="0"/>
      <w:marBottom w:val="0"/>
      <w:divBdr>
        <w:top w:val="none" w:sz="0" w:space="0" w:color="auto"/>
        <w:left w:val="none" w:sz="0" w:space="0" w:color="auto"/>
        <w:bottom w:val="none" w:sz="0" w:space="0" w:color="auto"/>
        <w:right w:val="none" w:sz="0" w:space="0" w:color="auto"/>
      </w:divBdr>
      <w:divsChild>
        <w:div w:id="858391596">
          <w:marLeft w:val="0"/>
          <w:marRight w:val="0"/>
          <w:marTop w:val="0"/>
          <w:marBottom w:val="0"/>
          <w:divBdr>
            <w:top w:val="none" w:sz="0" w:space="0" w:color="auto"/>
            <w:left w:val="none" w:sz="0" w:space="0" w:color="auto"/>
            <w:bottom w:val="none" w:sz="0" w:space="0" w:color="auto"/>
            <w:right w:val="none" w:sz="0" w:space="0" w:color="auto"/>
          </w:divBdr>
          <w:divsChild>
            <w:div w:id="113642081">
              <w:marLeft w:val="0"/>
              <w:marRight w:val="0"/>
              <w:marTop w:val="0"/>
              <w:marBottom w:val="0"/>
              <w:divBdr>
                <w:top w:val="none" w:sz="0" w:space="0" w:color="auto"/>
                <w:left w:val="none" w:sz="0" w:space="0" w:color="auto"/>
                <w:bottom w:val="none" w:sz="0" w:space="0" w:color="auto"/>
                <w:right w:val="none" w:sz="0" w:space="0" w:color="auto"/>
              </w:divBdr>
              <w:divsChild>
                <w:div w:id="1845976798">
                  <w:marLeft w:val="0"/>
                  <w:marRight w:val="0"/>
                  <w:marTop w:val="0"/>
                  <w:marBottom w:val="0"/>
                  <w:divBdr>
                    <w:top w:val="none" w:sz="0" w:space="0" w:color="auto"/>
                    <w:left w:val="none" w:sz="0" w:space="0" w:color="auto"/>
                    <w:bottom w:val="none" w:sz="0" w:space="0" w:color="auto"/>
                    <w:right w:val="none" w:sz="0" w:space="0" w:color="auto"/>
                  </w:divBdr>
                  <w:divsChild>
                    <w:div w:id="8788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Delsigne, Scott A.  (HSC)</dc:creator>
  <cp:lastModifiedBy>Delsigne, Scott A.  (HSC)</cp:lastModifiedBy>
  <cp:revision>2</cp:revision>
  <dcterms:created xsi:type="dcterms:W3CDTF">2013-12-04T20:32:00Z</dcterms:created>
  <dcterms:modified xsi:type="dcterms:W3CDTF">2013-12-04T20:36:00Z</dcterms:modified>
</cp:coreProperties>
</file>